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AA1" w:rsidRDefault="00903AA1" w:rsidP="00903AA1">
      <w:pPr>
        <w:pStyle w:val="1"/>
        <w:rPr>
          <w:szCs w:val="18"/>
        </w:rPr>
      </w:pPr>
      <w:r>
        <w:t>(96-91-3)4,6-二硝基-2-氨基苯酚的理化及危险特性表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235"/>
        <w:gridCol w:w="2264"/>
        <w:gridCol w:w="2182"/>
      </w:tblGrid>
      <w:tr w:rsidR="00903AA1"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标</w:t>
            </w:r>
          </w:p>
          <w:p w:rsidR="00903AA1" w:rsidRDefault="00903AA1" w:rsidP="0090435F">
            <w:pPr>
              <w:spacing w:line="290" w:lineRule="exact"/>
              <w:rPr>
                <w:rFonts w:ascii="宋体" w:hAnsi="宋体"/>
              </w:rPr>
            </w:pPr>
            <w:r>
              <w:rPr>
                <w:rFonts w:ascii="宋体" w:hAnsi="宋体" w:hint="eastAsia"/>
              </w:rPr>
              <w:t>识</w:t>
            </w: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中文名：</w:t>
            </w:r>
            <w:r>
              <w:rPr>
                <w:rFonts w:ascii="宋体" w:hAnsi="宋体" w:hint="eastAsia"/>
                <w:szCs w:val="18"/>
              </w:rPr>
              <w:t>4,6-二硝基-2-氨基苯酚；苦氨酸</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szCs w:val="18"/>
                <w:lang w:val="en-GB"/>
              </w:rPr>
            </w:pPr>
            <w:r>
              <w:rPr>
                <w:rFonts w:ascii="宋体" w:hAnsi="宋体" w:hint="eastAsia"/>
              </w:rPr>
              <w:t>英文名</w:t>
            </w:r>
            <w:r>
              <w:rPr>
                <w:rFonts w:ascii="宋体" w:hAnsi="宋体" w:hint="eastAsia"/>
                <w:lang w:val="en-GB"/>
              </w:rPr>
              <w:t>：</w:t>
            </w:r>
            <w:r>
              <w:rPr>
                <w:rFonts w:ascii="宋体" w:hAnsi="宋体" w:hint="eastAsia"/>
                <w:szCs w:val="18"/>
              </w:rPr>
              <w:t>4,6-dinitro-2-aminophenol </w:t>
            </w:r>
            <w:r>
              <w:rPr>
                <w:rFonts w:ascii="宋体" w:hAnsi="宋体" w:hint="eastAsia"/>
                <w:szCs w:val="18"/>
                <w:lang w:val="en-GB"/>
              </w:rPr>
              <w:t>；</w:t>
            </w:r>
          </w:p>
          <w:p w:rsidR="00903AA1" w:rsidRDefault="00903AA1" w:rsidP="0090435F">
            <w:pPr>
              <w:spacing w:line="290" w:lineRule="exact"/>
              <w:ind w:firstLineChars="400" w:firstLine="840"/>
              <w:rPr>
                <w:rFonts w:ascii="宋体" w:hAnsi="宋体"/>
              </w:rPr>
            </w:pPr>
            <w:r>
              <w:rPr>
                <w:rFonts w:ascii="宋体" w:hAnsi="宋体" w:hint="eastAsia"/>
                <w:szCs w:val="18"/>
                <w:lang w:val="en-GB"/>
              </w:rPr>
              <w:t xml:space="preserve"> </w:t>
            </w:r>
            <w:r>
              <w:rPr>
                <w:rFonts w:ascii="宋体" w:hAnsi="宋体" w:hint="eastAsia"/>
                <w:szCs w:val="18"/>
              </w:rPr>
              <w:t>picramic acid</w:t>
            </w:r>
          </w:p>
        </w:tc>
      </w:tr>
      <w:tr w:rsidR="00903AA1" w:rsidTr="0090435F">
        <w:trPr>
          <w:cantSplit/>
          <w:jc w:val="center"/>
        </w:trPr>
        <w:tc>
          <w:tcPr>
            <w:tcW w:w="493" w:type="dxa"/>
            <w:vMerge/>
            <w:tcBorders>
              <w:left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5</w:t>
            </w:r>
            <w:r>
              <w:rPr>
                <w:rFonts w:ascii="宋体" w:hAnsi="宋体" w:hint="eastAsia"/>
                <w:szCs w:val="18"/>
              </w:rPr>
              <w:t>N</w:t>
            </w:r>
            <w:r>
              <w:rPr>
                <w:rFonts w:ascii="宋体" w:hAnsi="宋体" w:hint="eastAsia"/>
                <w:szCs w:val="18"/>
                <w:vertAlign w:val="subscript"/>
              </w:rPr>
              <w:t>3</w:t>
            </w:r>
            <w:r>
              <w:rPr>
                <w:rFonts w:ascii="宋体" w:hAnsi="宋体" w:hint="eastAsia"/>
                <w:szCs w:val="18"/>
              </w:rPr>
              <w:t>O</w:t>
            </w:r>
            <w:r>
              <w:rPr>
                <w:rFonts w:ascii="宋体" w:hAnsi="宋体" w:hint="eastAsia"/>
                <w:szCs w:val="18"/>
                <w:vertAlign w:val="subscript"/>
              </w:rPr>
              <w:t>5</w:t>
            </w:r>
          </w:p>
        </w:tc>
        <w:tc>
          <w:tcPr>
            <w:tcW w:w="2264"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199.14</w:t>
            </w:r>
          </w:p>
        </w:tc>
        <w:tc>
          <w:tcPr>
            <w:tcW w:w="2182"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UN编号：</w:t>
            </w:r>
          </w:p>
        </w:tc>
      </w:tr>
      <w:tr w:rsidR="00903AA1" w:rsidTr="0090435F">
        <w:trPr>
          <w:cantSplit/>
          <w:jc w:val="center"/>
        </w:trPr>
        <w:tc>
          <w:tcPr>
            <w:tcW w:w="493" w:type="dxa"/>
            <w:vMerge/>
            <w:tcBorders>
              <w:left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危险类别：第4.1类  易燃固体</w:t>
            </w:r>
          </w:p>
        </w:tc>
        <w:tc>
          <w:tcPr>
            <w:tcW w:w="2264"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危规号： 41521</w:t>
            </w:r>
          </w:p>
        </w:tc>
        <w:tc>
          <w:tcPr>
            <w:tcW w:w="2182"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CAS号：96-91-3</w:t>
            </w:r>
          </w:p>
        </w:tc>
      </w:tr>
      <w:tr w:rsidR="00903AA1" w:rsidTr="0090435F">
        <w:trPr>
          <w:cantSplit/>
          <w:jc w:val="center"/>
        </w:trPr>
        <w:tc>
          <w:tcPr>
            <w:tcW w:w="493" w:type="dxa"/>
            <w:vMerge/>
            <w:tcBorders>
              <w:left w:val="single" w:sz="4" w:space="0" w:color="auto"/>
              <w:bottom w:val="nil"/>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包装标志：</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包装类别：</w:t>
            </w:r>
          </w:p>
        </w:tc>
      </w:tr>
      <w:tr w:rsidR="00903AA1"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理</w:t>
            </w:r>
          </w:p>
          <w:p w:rsidR="00903AA1" w:rsidRDefault="00903AA1" w:rsidP="0090435F">
            <w:pPr>
              <w:spacing w:line="290" w:lineRule="exact"/>
              <w:rPr>
                <w:rFonts w:ascii="宋体" w:hAnsi="宋体"/>
              </w:rPr>
            </w:pPr>
            <w:r>
              <w:rPr>
                <w:rFonts w:ascii="宋体" w:hAnsi="宋体" w:hint="eastAsia"/>
              </w:rPr>
              <w:t>化</w:t>
            </w:r>
          </w:p>
          <w:p w:rsidR="00903AA1" w:rsidRDefault="00903AA1" w:rsidP="0090435F">
            <w:pPr>
              <w:spacing w:line="290" w:lineRule="exact"/>
              <w:rPr>
                <w:rFonts w:ascii="宋体" w:hAnsi="宋体"/>
              </w:rPr>
            </w:pPr>
            <w:r>
              <w:rPr>
                <w:rFonts w:ascii="宋体" w:hAnsi="宋体" w:hint="eastAsia"/>
              </w:rPr>
              <w:t>性</w:t>
            </w:r>
          </w:p>
          <w:p w:rsidR="00903AA1" w:rsidRDefault="00903AA1" w:rsidP="0090435F">
            <w:pPr>
              <w:spacing w:line="29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外观与性状：</w:t>
            </w:r>
            <w:r>
              <w:rPr>
                <w:rFonts w:ascii="_x000B__x000C_" w:hAnsi="_x000B__x000C_" w:hint="eastAsia"/>
                <w:szCs w:val="18"/>
              </w:rPr>
              <w:t>暗红色针状或棱形结晶。</w:t>
            </w:r>
          </w:p>
        </w:tc>
      </w:tr>
      <w:tr w:rsidR="00903AA1"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溶解性 ：</w:t>
            </w:r>
            <w:r>
              <w:rPr>
                <w:rFonts w:ascii="_x000B__x000C_" w:hAnsi="_x000B__x000C_" w:hint="eastAsia"/>
                <w:szCs w:val="18"/>
              </w:rPr>
              <w:t>微溶于水，溶于苯、醇、苯胺。</w:t>
            </w:r>
          </w:p>
        </w:tc>
      </w:tr>
      <w:tr w:rsidR="00903AA1"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熔点（℃）：</w:t>
            </w:r>
            <w:r>
              <w:rPr>
                <w:rFonts w:ascii="宋体" w:hAnsi="宋体" w:hint="eastAsia"/>
                <w:szCs w:val="18"/>
              </w:rPr>
              <w:t>168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沸点（℃）：无资料</w:t>
            </w:r>
          </w:p>
        </w:tc>
      </w:tr>
      <w:tr w:rsidR="00903AA1"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相对密度（水＝1）：无资料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相对密度（空气＝1）：无资料</w:t>
            </w:r>
          </w:p>
        </w:tc>
      </w:tr>
      <w:tr w:rsidR="00903AA1"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燃烧热（kJ/mol）：无资料</w:t>
            </w:r>
          </w:p>
        </w:tc>
      </w:tr>
      <w:tr w:rsidR="00903AA1"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临界压力（MPa）：</w:t>
            </w:r>
          </w:p>
        </w:tc>
      </w:tr>
      <w:tr w:rsidR="00903AA1"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燃</w:t>
            </w:r>
          </w:p>
          <w:p w:rsidR="00903AA1" w:rsidRDefault="00903AA1" w:rsidP="0090435F">
            <w:pPr>
              <w:spacing w:line="290" w:lineRule="exact"/>
              <w:rPr>
                <w:rFonts w:ascii="宋体" w:hAnsi="宋体"/>
              </w:rPr>
            </w:pPr>
            <w:r>
              <w:rPr>
                <w:rFonts w:ascii="宋体" w:hAnsi="宋体" w:hint="eastAsia"/>
              </w:rPr>
              <w:t>烧</w:t>
            </w:r>
          </w:p>
          <w:p w:rsidR="00903AA1" w:rsidRDefault="00903AA1" w:rsidP="0090435F">
            <w:pPr>
              <w:spacing w:line="290" w:lineRule="exact"/>
              <w:rPr>
                <w:rFonts w:ascii="宋体" w:hAnsi="宋体"/>
              </w:rPr>
            </w:pPr>
            <w:r>
              <w:rPr>
                <w:rFonts w:ascii="宋体" w:hAnsi="宋体" w:hint="eastAsia"/>
              </w:rPr>
              <w:t>爆</w:t>
            </w:r>
          </w:p>
          <w:p w:rsidR="00903AA1" w:rsidRDefault="00903AA1" w:rsidP="0090435F">
            <w:pPr>
              <w:spacing w:line="290" w:lineRule="exact"/>
              <w:rPr>
                <w:rFonts w:ascii="宋体" w:hAnsi="宋体"/>
              </w:rPr>
            </w:pPr>
            <w:r>
              <w:rPr>
                <w:rFonts w:ascii="宋体" w:hAnsi="宋体" w:hint="eastAsia"/>
              </w:rPr>
              <w:t>炸</w:t>
            </w:r>
          </w:p>
          <w:p w:rsidR="00903AA1" w:rsidRDefault="00903AA1" w:rsidP="0090435F">
            <w:pPr>
              <w:spacing w:line="290" w:lineRule="exact"/>
              <w:rPr>
                <w:rFonts w:ascii="宋体" w:hAnsi="宋体"/>
              </w:rPr>
            </w:pPr>
            <w:r>
              <w:rPr>
                <w:rFonts w:ascii="宋体" w:hAnsi="宋体" w:hint="eastAsia"/>
              </w:rPr>
              <w:t>危</w:t>
            </w:r>
          </w:p>
          <w:p w:rsidR="00903AA1" w:rsidRDefault="00903AA1" w:rsidP="0090435F">
            <w:pPr>
              <w:spacing w:line="290" w:lineRule="exact"/>
              <w:rPr>
                <w:rFonts w:ascii="宋体" w:hAnsi="宋体"/>
              </w:rPr>
            </w:pPr>
            <w:r>
              <w:rPr>
                <w:rFonts w:ascii="宋体" w:hAnsi="宋体" w:hint="eastAsia"/>
              </w:rPr>
              <w:t>险</w:t>
            </w:r>
          </w:p>
          <w:p w:rsidR="00903AA1" w:rsidRDefault="00903AA1" w:rsidP="0090435F">
            <w:pPr>
              <w:spacing w:line="290" w:lineRule="exact"/>
              <w:rPr>
                <w:rFonts w:ascii="宋体" w:hAnsi="宋体"/>
              </w:rPr>
            </w:pPr>
            <w:r>
              <w:rPr>
                <w:rFonts w:ascii="宋体" w:hAnsi="宋体" w:hint="eastAsia"/>
              </w:rPr>
              <w:t>性</w:t>
            </w: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闪点（℃）：210</w:t>
            </w:r>
          </w:p>
        </w:tc>
      </w:tr>
      <w:tr w:rsidR="00903AA1" w:rsidTr="0090435F">
        <w:trPr>
          <w:cantSplit/>
          <w:jc w:val="center"/>
        </w:trPr>
        <w:tc>
          <w:tcPr>
            <w:tcW w:w="493" w:type="dxa"/>
            <w:vMerge/>
            <w:tcBorders>
              <w:top w:val="single" w:sz="4" w:space="0" w:color="auto"/>
              <w:left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vertAlign w:val="superscript"/>
              </w:rPr>
            </w:pPr>
            <w:r>
              <w:rPr>
                <w:rFonts w:ascii="宋体" w:hAnsi="宋体" w:hint="eastAsia"/>
              </w:rPr>
              <w:t>爆炸下限（%）：无资料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爆炸上限（%）：无资料</w:t>
            </w:r>
          </w:p>
        </w:tc>
      </w:tr>
      <w:tr w:rsidR="00903AA1" w:rsidTr="0090435F">
        <w:trPr>
          <w:cantSplit/>
          <w:jc w:val="center"/>
        </w:trPr>
        <w:tc>
          <w:tcPr>
            <w:tcW w:w="493" w:type="dxa"/>
            <w:vMerge/>
            <w:tcBorders>
              <w:top w:val="single" w:sz="4" w:space="0" w:color="auto"/>
              <w:left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引燃温度（℃）：无资料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最小点火能（mJ）：无资料</w:t>
            </w:r>
          </w:p>
        </w:tc>
      </w:tr>
      <w:tr w:rsidR="00903AA1" w:rsidTr="0090435F">
        <w:trPr>
          <w:cantSplit/>
          <w:jc w:val="center"/>
        </w:trPr>
        <w:tc>
          <w:tcPr>
            <w:tcW w:w="493" w:type="dxa"/>
            <w:vMerge/>
            <w:tcBorders>
              <w:left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 xml:space="preserve">稳定性： </w:t>
            </w:r>
          </w:p>
        </w:tc>
      </w:tr>
      <w:tr w:rsidR="00903AA1" w:rsidTr="0090435F">
        <w:trPr>
          <w:cantSplit/>
          <w:jc w:val="center"/>
        </w:trPr>
        <w:tc>
          <w:tcPr>
            <w:tcW w:w="493" w:type="dxa"/>
            <w:vMerge/>
            <w:tcBorders>
              <w:left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 xml:space="preserve">聚合危害：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一氧化碳、二氧化碳、氮氧化物。</w:t>
            </w:r>
          </w:p>
        </w:tc>
      </w:tr>
      <w:tr w:rsidR="00903AA1" w:rsidTr="0090435F">
        <w:trPr>
          <w:cantSplit/>
          <w:jc w:val="center"/>
        </w:trPr>
        <w:tc>
          <w:tcPr>
            <w:tcW w:w="493" w:type="dxa"/>
            <w:vMerge/>
            <w:tcBorders>
              <w:left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_x000B__x000C_" w:hAnsi="_x000B__x000C_"/>
                <w:szCs w:val="18"/>
              </w:rPr>
            </w:pPr>
            <w:r>
              <w:rPr>
                <w:rFonts w:ascii="_x000B__x000C_" w:hAnsi="_x000B__x000C_" w:hint="eastAsia"/>
                <w:szCs w:val="18"/>
              </w:rPr>
              <w:t>禁忌物：氧化剂。</w:t>
            </w:r>
          </w:p>
        </w:tc>
      </w:tr>
      <w:tr w:rsidR="00903AA1" w:rsidTr="0090435F">
        <w:trPr>
          <w:cantSplit/>
          <w:jc w:val="center"/>
        </w:trPr>
        <w:tc>
          <w:tcPr>
            <w:tcW w:w="493" w:type="dxa"/>
            <w:vMerge/>
            <w:tcBorders>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szCs w:val="18"/>
              </w:rPr>
            </w:pPr>
            <w:r>
              <w:rPr>
                <w:rFonts w:ascii="宋体" w:hAnsi="宋体" w:hint="eastAsia"/>
                <w:szCs w:val="18"/>
              </w:rPr>
              <w:t>危险特性: 遇明火、高热、摩擦、震动、撞击，有引起燃烧爆炸的危险。与氧化剂混合能形成爆炸性混合物。干燥时经震动、撞击会引起爆炸。受高热分解放出有毒的气体。</w:t>
            </w:r>
          </w:p>
        </w:tc>
      </w:tr>
      <w:tr w:rsidR="00903AA1" w:rsidTr="0090435F">
        <w:trPr>
          <w:cantSplit/>
          <w:jc w:val="center"/>
        </w:trPr>
        <w:tc>
          <w:tcPr>
            <w:tcW w:w="493" w:type="dxa"/>
            <w:vMerge/>
            <w:tcBorders>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szCs w:val="18"/>
              </w:rPr>
            </w:pPr>
            <w:r>
              <w:rPr>
                <w:rFonts w:ascii="宋体" w:hAnsi="宋体" w:hint="eastAsia"/>
                <w:szCs w:val="18"/>
              </w:rPr>
              <w:t>灭火方法：尽可能将容器从火场移至空旷处。灭火剂：雾状水、泡沫、干粉、二氧化碳。禁止用砂土压盖。</w:t>
            </w:r>
          </w:p>
        </w:tc>
      </w:tr>
      <w:tr w:rsidR="00903AA1"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毒</w:t>
            </w:r>
          </w:p>
          <w:p w:rsidR="00903AA1" w:rsidRDefault="00903AA1" w:rsidP="0090435F">
            <w:pPr>
              <w:spacing w:line="29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150 mg/kg(狗，静脉内)</w:t>
            </w:r>
          </w:p>
          <w:p w:rsidR="00903AA1" w:rsidRDefault="00903AA1"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903AA1"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侵入途经：吸入、食入、经皮吸收。</w:t>
            </w:r>
          </w:p>
        </w:tc>
      </w:tr>
      <w:tr w:rsidR="00903AA1" w:rsidTr="0090435F">
        <w:trPr>
          <w:cantSplit/>
          <w:jc w:val="center"/>
        </w:trPr>
        <w:tc>
          <w:tcPr>
            <w:tcW w:w="493" w:type="dxa"/>
            <w:vMerge/>
            <w:tcBorders>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szCs w:val="18"/>
              </w:rPr>
            </w:pPr>
            <w:r>
              <w:rPr>
                <w:rFonts w:ascii="宋体" w:hAnsi="宋体" w:hint="eastAsia"/>
                <w:szCs w:val="18"/>
              </w:rPr>
              <w:t>有毒。吸入、摄入或经皮肤吸收可引起中毒。中毒表现有盗汗、发烧、呼吸短促、心跳加快等。皮肤接触可引起皮炎、周围神经炎。  </w:t>
            </w:r>
          </w:p>
        </w:tc>
      </w:tr>
      <w:tr w:rsidR="00903AA1" w:rsidTr="0090435F">
        <w:trPr>
          <w:cantSplit/>
          <w:jc w:val="center"/>
        </w:trPr>
        <w:tc>
          <w:tcPr>
            <w:tcW w:w="493" w:type="dxa"/>
            <w:tcBorders>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急</w:t>
            </w:r>
          </w:p>
          <w:p w:rsidR="00903AA1" w:rsidRDefault="00903AA1" w:rsidP="0090435F">
            <w:pPr>
              <w:spacing w:line="29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szCs w:val="18"/>
              </w:rPr>
            </w:pPr>
            <w:r>
              <w:rPr>
                <w:rFonts w:ascii="宋体" w:hAnsi="宋体" w:hint="eastAsia"/>
                <w:szCs w:val="18"/>
              </w:rPr>
              <w:t>皮肤接触：立即脱去污染的衣着，用大量流动清水冲洗。就医。  ※眼睛接触：提起眼睑，用流动清水或生理盐水冲洗。就医。   ※吸入: 迅速脱离现场至空气新鲜处。保持呼吸道通畅。如呼吸困难，给输氧。如呼吸停止，立即进行人工呼吸。就医。   ※食入: 饮足量温水，催吐。就医。</w:t>
            </w:r>
          </w:p>
        </w:tc>
      </w:tr>
      <w:tr w:rsidR="00903AA1"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防</w:t>
            </w:r>
          </w:p>
          <w:p w:rsidR="00903AA1" w:rsidRDefault="00903AA1" w:rsidP="0090435F">
            <w:pPr>
              <w:spacing w:line="29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szCs w:val="18"/>
              </w:rPr>
            </w:pPr>
            <w:r>
              <w:rPr>
                <w:rFonts w:ascii="宋体" w:hAnsi="宋体" w:hint="eastAsia"/>
                <w:szCs w:val="18"/>
              </w:rPr>
              <w:t>工程控制：生产过程密闭，全面通风。    ※呼吸系统防护：空气中粉尘浓度较高时，建议佩戴自吸过滤式防尘口罩。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：一般不需特殊防护。   ※</w:t>
            </w:r>
            <w:r>
              <w:rPr>
                <w:rFonts w:ascii="宋体" w:hAnsi="宋体"/>
                <w:szCs w:val="18"/>
              </w:rPr>
              <w:t>手防护</w:t>
            </w:r>
            <w:r>
              <w:rPr>
                <w:rFonts w:ascii="宋体" w:hAnsi="宋体" w:hint="eastAsia"/>
                <w:szCs w:val="18"/>
              </w:rPr>
              <w:t>：戴防化学品手套。   ※其它：工作时不得进食、饮水或吸烟。工作完毕，彻底清洗。保持良好的卫生习惯。</w:t>
            </w:r>
          </w:p>
        </w:tc>
      </w:tr>
      <w:tr w:rsidR="00903AA1"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泄</w:t>
            </w:r>
          </w:p>
          <w:p w:rsidR="00903AA1" w:rsidRDefault="00903AA1" w:rsidP="0090435F">
            <w:pPr>
              <w:spacing w:line="290" w:lineRule="exact"/>
              <w:rPr>
                <w:rFonts w:ascii="宋体" w:hAnsi="宋体"/>
              </w:rPr>
            </w:pPr>
            <w:r>
              <w:rPr>
                <w:rFonts w:ascii="宋体" w:hAnsi="宋体" w:hint="eastAsia"/>
              </w:rPr>
              <w:t>漏</w:t>
            </w:r>
          </w:p>
          <w:p w:rsidR="00903AA1" w:rsidRDefault="00903AA1" w:rsidP="0090435F">
            <w:pPr>
              <w:spacing w:line="290" w:lineRule="exact"/>
              <w:rPr>
                <w:rFonts w:ascii="宋体" w:hAnsi="宋体"/>
              </w:rPr>
            </w:pPr>
            <w:r>
              <w:rPr>
                <w:rFonts w:ascii="宋体" w:hAnsi="宋体" w:hint="eastAsia"/>
              </w:rPr>
              <w:t>处</w:t>
            </w:r>
          </w:p>
          <w:p w:rsidR="00903AA1" w:rsidRDefault="00903AA1" w:rsidP="0090435F">
            <w:pPr>
              <w:spacing w:line="29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903AA1" w:rsidRDefault="00903AA1" w:rsidP="0090435F">
            <w:pPr>
              <w:spacing w:line="290" w:lineRule="exact"/>
              <w:rPr>
                <w:rFonts w:ascii="宋体" w:hAnsi="宋体"/>
                <w:szCs w:val="18"/>
              </w:rPr>
            </w:pPr>
            <w:r>
              <w:rPr>
                <w:rFonts w:ascii="宋体" w:hAnsi="宋体" w:hint="eastAsia"/>
                <w:szCs w:val="18"/>
              </w:rPr>
              <w:t>隔离泄漏污染区，限制出入。切断火源。建议应急处理人员戴防尘口罩，穿全棉防毒服。不要直接接触泄漏物。小量泄漏：避免扬尘，小心扫起，收集于干燥、洁净、有盖的容器中。大量泄漏：收集回收或运至废物处理场所处置。</w:t>
            </w:r>
          </w:p>
        </w:tc>
      </w:tr>
      <w:tr w:rsidR="00903AA1" w:rsidTr="0090435F">
        <w:trPr>
          <w:cantSplit/>
          <w:jc w:val="center"/>
        </w:trPr>
        <w:tc>
          <w:tcPr>
            <w:tcW w:w="493" w:type="dxa"/>
            <w:tcBorders>
              <w:top w:val="single" w:sz="4" w:space="0" w:color="auto"/>
              <w:left w:val="single" w:sz="4" w:space="0" w:color="auto"/>
              <w:right w:val="single" w:sz="4" w:space="0" w:color="auto"/>
            </w:tcBorders>
            <w:vAlign w:val="center"/>
          </w:tcPr>
          <w:p w:rsidR="00903AA1" w:rsidRDefault="00903AA1" w:rsidP="0090435F">
            <w:pPr>
              <w:spacing w:line="290" w:lineRule="exact"/>
              <w:rPr>
                <w:rFonts w:ascii="宋体" w:hAnsi="宋体"/>
              </w:rPr>
            </w:pPr>
            <w:r>
              <w:rPr>
                <w:rFonts w:ascii="宋体" w:hAnsi="宋体" w:hint="eastAsia"/>
              </w:rPr>
              <w:t>储</w:t>
            </w:r>
          </w:p>
          <w:p w:rsidR="00903AA1" w:rsidRDefault="00903AA1" w:rsidP="0090435F">
            <w:pPr>
              <w:spacing w:line="29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903AA1" w:rsidRDefault="00903AA1" w:rsidP="0090435F">
            <w:pPr>
              <w:spacing w:line="290" w:lineRule="exact"/>
              <w:rPr>
                <w:rFonts w:ascii="宋体" w:hAnsi="宋体"/>
                <w:szCs w:val="18"/>
              </w:rPr>
            </w:pPr>
            <w:r>
              <w:rPr>
                <w:rFonts w:ascii="宋体" w:hAnsi="宋体" w:hint="eastAsia"/>
                <w:szCs w:val="18"/>
              </w:rPr>
              <w:t>储存于阴凉、通风的库房。远离火种、热源。防止阳光直射。包装密封。应与氧化剂、食用化学品分开存放，切忌混储。采用防爆型照明、通风设施。禁止使用易产生火花的机械设备和工具。储区应备有合适的材料收容泄漏物。</w:t>
            </w:r>
          </w:p>
          <w:p w:rsidR="00903AA1" w:rsidRDefault="00903AA1" w:rsidP="0090435F">
            <w:pPr>
              <w:spacing w:line="290" w:lineRule="exact"/>
              <w:rPr>
                <w:rFonts w:ascii="宋体" w:hAnsi="宋体"/>
                <w:szCs w:val="18"/>
              </w:rPr>
            </w:pPr>
            <w:r>
              <w:rPr>
                <w:rFonts w:ascii="宋体" w:hAnsi="宋体" w:hint="eastAsia"/>
                <w:szCs w:val="18"/>
              </w:rPr>
              <w:t>运输时运输车辆应配备相应品种和数量的消防器材及泄漏应急处理设备。装运本品的车辆排气管须有阻火装置。运输过程中要确保容器不泄漏、不倒塌、不坠落、不损坏。严禁与氧化剂等混装混运。运输途中应防曝晒、雨淋，防高温。中途停留时应远离火种、热源。车辆运输完毕应进行彻底清扫。铁路运输时要禁止溜放。</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A1"/>
    <w:rsid w:val="00903AA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DF7D8-CD2A-4D8E-9AFA-DEBECB11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03AA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03AA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Company>zyhq</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